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C14C" w14:textId="3FA7C4A2" w:rsidR="001620AA" w:rsidRDefault="001620AA" w:rsidP="00A501FB">
      <w:pPr>
        <w:spacing w:before="100" w:beforeAutospacing="1" w:after="120"/>
        <w:jc w:val="center"/>
        <w:outlineLvl w:val="1"/>
        <w:rPr>
          <w:rFonts w:eastAsia="Times New Roman" w:cs="Times New Roman"/>
          <w:b/>
          <w:bCs/>
          <w:color w:val="141414"/>
          <w:sz w:val="28"/>
          <w:szCs w:val="28"/>
        </w:rPr>
      </w:pPr>
      <w:r w:rsidRPr="001620AA">
        <w:rPr>
          <w:rFonts w:eastAsia="Times New Roman" w:cs="Times New Roman"/>
          <w:b/>
          <w:bCs/>
          <w:color w:val="141414"/>
          <w:sz w:val="28"/>
          <w:szCs w:val="28"/>
        </w:rPr>
        <w:t>The Gatherings’ Stay Healthy Pandemic Protocol</w:t>
      </w:r>
    </w:p>
    <w:p w14:paraId="222F5F8F" w14:textId="39F7F3ED" w:rsidR="00A501FB" w:rsidRPr="00A501FB" w:rsidRDefault="00A501FB" w:rsidP="00A501FB">
      <w:pPr>
        <w:spacing w:before="100" w:beforeAutospacing="1" w:after="120"/>
        <w:outlineLvl w:val="1"/>
        <w:rPr>
          <w:rFonts w:eastAsia="Times New Roman" w:cs="Times New Roman"/>
          <w:i/>
          <w:iCs/>
          <w:color w:val="141414"/>
        </w:rPr>
      </w:pPr>
      <w:r w:rsidRPr="00A501FB">
        <w:rPr>
          <w:rFonts w:eastAsia="Times New Roman" w:cs="Times New Roman"/>
          <w:i/>
          <w:iCs/>
          <w:color w:val="141414"/>
        </w:rPr>
        <w:t>As an all-volunteer, small community center, The Gatherings requires any group using our facilities to take responsibility for their own well-being.  We request that groups follow the</w:t>
      </w:r>
      <w:r>
        <w:rPr>
          <w:rFonts w:eastAsia="Times New Roman" w:cs="Times New Roman"/>
          <w:i/>
          <w:iCs/>
          <w:color w:val="141414"/>
        </w:rPr>
        <w:t>se</w:t>
      </w:r>
      <w:r w:rsidRPr="00A501FB">
        <w:rPr>
          <w:rFonts w:eastAsia="Times New Roman" w:cs="Times New Roman"/>
          <w:i/>
          <w:iCs/>
          <w:color w:val="141414"/>
        </w:rPr>
        <w:t xml:space="preserve"> guidelines from the Maine CDC, but cannot ensure that all groups will do so.  Thus, each group must decide for itself whether and how to use our shared space.  </w:t>
      </w:r>
    </w:p>
    <w:p w14:paraId="2244E37F" w14:textId="32AFEC24" w:rsidR="00A501FB" w:rsidRDefault="004455AF" w:rsidP="00A501FB">
      <w:pPr>
        <w:spacing w:before="100" w:beforeAutospacing="1" w:after="120"/>
        <w:jc w:val="center"/>
        <w:outlineLvl w:val="1"/>
        <w:rPr>
          <w:rFonts w:eastAsia="Times New Roman" w:cs="Times New Roman"/>
          <w:b/>
          <w:bCs/>
          <w:color w:val="141414"/>
          <w:sz w:val="28"/>
          <w:szCs w:val="28"/>
        </w:rPr>
      </w:pPr>
      <w:r w:rsidRPr="001620AA">
        <w:rPr>
          <w:rFonts w:eastAsia="Times New Roman" w:cs="Times New Roman"/>
          <w:b/>
          <w:bCs/>
          <w:color w:val="141414"/>
        </w:rPr>
        <w:t xml:space="preserve">Adapted from Maine CDC Guidelines for </w:t>
      </w:r>
      <w:r w:rsidR="00DE4328" w:rsidRPr="00DE4328">
        <w:rPr>
          <w:rFonts w:eastAsia="Times New Roman" w:cs="Times New Roman"/>
          <w:b/>
          <w:bCs/>
          <w:color w:val="141414"/>
        </w:rPr>
        <w:t xml:space="preserve">Indoor </w:t>
      </w:r>
      <w:r w:rsidRPr="001620AA">
        <w:rPr>
          <w:rFonts w:eastAsia="Times New Roman" w:cs="Times New Roman"/>
          <w:b/>
          <w:bCs/>
          <w:color w:val="141414"/>
        </w:rPr>
        <w:t>Venues</w:t>
      </w:r>
      <w:r w:rsidRPr="001620AA">
        <w:rPr>
          <w:rFonts w:eastAsia="Times New Roman" w:cs="Times New Roman"/>
          <w:color w:val="141414"/>
        </w:rPr>
        <w:t xml:space="preserve"> (</w:t>
      </w:r>
      <w:r w:rsidRPr="00DE4328">
        <w:rPr>
          <w:rFonts w:eastAsia="Times New Roman" w:cs="Times New Roman"/>
          <w:color w:val="141414"/>
        </w:rPr>
        <w:t xml:space="preserve">per </w:t>
      </w:r>
      <w:r w:rsidR="007F0BBB" w:rsidRPr="001620AA">
        <w:rPr>
          <w:rFonts w:eastAsia="Times New Roman" w:cs="Times New Roman"/>
          <w:color w:val="141414"/>
        </w:rPr>
        <w:t xml:space="preserve">Maine </w:t>
      </w:r>
      <w:r w:rsidRPr="00DE4328">
        <w:rPr>
          <w:rFonts w:eastAsia="Times New Roman" w:cs="Times New Roman"/>
          <w:color w:val="141414"/>
        </w:rPr>
        <w:t>CDC recommendations and pertinent Executive Orders from the Office of the Governor</w:t>
      </w:r>
      <w:r w:rsidRPr="001620AA">
        <w:rPr>
          <w:rFonts w:eastAsia="Times New Roman" w:cs="Times New Roman"/>
          <w:color w:val="141414"/>
        </w:rPr>
        <w:t>)</w:t>
      </w:r>
    </w:p>
    <w:p w14:paraId="08559686" w14:textId="22218CE4" w:rsidR="00DE4328" w:rsidRPr="00DE4328" w:rsidRDefault="00DE4328" w:rsidP="00C45A60">
      <w:pPr>
        <w:spacing w:before="100" w:beforeAutospacing="1" w:after="120"/>
        <w:outlineLvl w:val="1"/>
        <w:rPr>
          <w:rFonts w:eastAsia="Times New Roman" w:cs="Times New Roman"/>
          <w:b/>
          <w:bCs/>
          <w:color w:val="141414"/>
          <w:sz w:val="28"/>
          <w:szCs w:val="28"/>
        </w:rPr>
      </w:pPr>
      <w:r w:rsidRPr="00DE4328">
        <w:rPr>
          <w:rFonts w:eastAsia="Times New Roman" w:cs="Times New Roman"/>
          <w:color w:val="141414"/>
        </w:rPr>
        <w:t xml:space="preserve">Indoor venues bring people from different households into close contact with each other, potentially for a prolonged period, and have the potential to increase COVID-19 transmission. The primary tools to control the spread of COVID-19 are </w:t>
      </w:r>
      <w:r w:rsidRPr="00DE4328">
        <w:rPr>
          <w:rFonts w:eastAsia="Times New Roman" w:cs="Times New Roman"/>
          <w:b/>
          <w:bCs/>
          <w:i/>
          <w:iCs/>
          <w:color w:val="141414"/>
        </w:rPr>
        <w:t>physical distancin</w:t>
      </w:r>
      <w:r w:rsidR="001620AA" w:rsidRPr="001620AA">
        <w:rPr>
          <w:rFonts w:eastAsia="Times New Roman" w:cs="Times New Roman"/>
          <w:b/>
          <w:bCs/>
          <w:i/>
          <w:iCs/>
          <w:color w:val="141414"/>
        </w:rPr>
        <w:t>g</w:t>
      </w:r>
      <w:r w:rsidR="001620AA" w:rsidRPr="001620AA">
        <w:rPr>
          <w:rFonts w:eastAsia="Times New Roman" w:cs="Times New Roman"/>
          <w:color w:val="141414"/>
        </w:rPr>
        <w:t xml:space="preserve">, </w:t>
      </w:r>
      <w:r w:rsidR="007F0BBB" w:rsidRPr="001620AA">
        <w:rPr>
          <w:rFonts w:eastAsia="Times New Roman" w:cs="Times New Roman"/>
          <w:color w:val="141414"/>
        </w:rPr>
        <w:t xml:space="preserve">the use of </w:t>
      </w:r>
      <w:r w:rsidRPr="00DE4328">
        <w:rPr>
          <w:rFonts w:eastAsia="Times New Roman" w:cs="Times New Roman"/>
          <w:b/>
          <w:bCs/>
          <w:i/>
          <w:iCs/>
          <w:color w:val="141414"/>
        </w:rPr>
        <w:t>face coverings</w:t>
      </w:r>
      <w:r w:rsidRPr="00DE4328">
        <w:rPr>
          <w:rFonts w:eastAsia="Times New Roman" w:cs="Times New Roman"/>
          <w:color w:val="141414"/>
        </w:rPr>
        <w:t>, increase</w:t>
      </w:r>
      <w:r w:rsidR="004455AF" w:rsidRPr="001620AA">
        <w:rPr>
          <w:rFonts w:eastAsia="Times New Roman" w:cs="Times New Roman"/>
          <w:color w:val="141414"/>
        </w:rPr>
        <w:t>d</w:t>
      </w:r>
      <w:r w:rsidRPr="00DE4328">
        <w:rPr>
          <w:rFonts w:eastAsia="Times New Roman" w:cs="Times New Roman"/>
          <w:color w:val="141414"/>
        </w:rPr>
        <w:t xml:space="preserve"> </w:t>
      </w:r>
      <w:r w:rsidRPr="00DE4328">
        <w:rPr>
          <w:rFonts w:eastAsia="Times New Roman" w:cs="Times New Roman"/>
          <w:b/>
          <w:bCs/>
          <w:i/>
          <w:iCs/>
          <w:color w:val="141414"/>
        </w:rPr>
        <w:t xml:space="preserve">hand </w:t>
      </w:r>
      <w:r w:rsidR="004455AF" w:rsidRPr="001620AA">
        <w:rPr>
          <w:rFonts w:eastAsia="Times New Roman" w:cs="Times New Roman"/>
          <w:b/>
          <w:bCs/>
          <w:i/>
          <w:iCs/>
          <w:color w:val="141414"/>
        </w:rPr>
        <w:t>washing</w:t>
      </w:r>
      <w:r w:rsidRPr="00DE4328">
        <w:rPr>
          <w:rFonts w:eastAsia="Times New Roman" w:cs="Times New Roman"/>
          <w:color w:val="141414"/>
        </w:rPr>
        <w:t>, avoid shared items and common touch surfaces</w:t>
      </w:r>
      <w:r w:rsidR="007F0BBB" w:rsidRPr="001620AA">
        <w:rPr>
          <w:rFonts w:eastAsia="Times New Roman" w:cs="Times New Roman"/>
          <w:color w:val="141414"/>
        </w:rPr>
        <w:t xml:space="preserve">, and </w:t>
      </w:r>
      <w:r w:rsidR="007F0BBB" w:rsidRPr="001620AA">
        <w:rPr>
          <w:rFonts w:eastAsia="Times New Roman" w:cs="Times New Roman"/>
          <w:b/>
          <w:bCs/>
          <w:i/>
          <w:iCs/>
          <w:color w:val="141414"/>
        </w:rPr>
        <w:t>disinfect</w:t>
      </w:r>
      <w:r w:rsidR="00202760">
        <w:rPr>
          <w:rFonts w:eastAsia="Times New Roman" w:cs="Times New Roman"/>
          <w:b/>
          <w:bCs/>
          <w:i/>
          <w:iCs/>
          <w:color w:val="141414"/>
        </w:rPr>
        <w:t>ing</w:t>
      </w:r>
      <w:r w:rsidR="007F0BBB" w:rsidRPr="001620AA">
        <w:rPr>
          <w:rFonts w:eastAsia="Times New Roman" w:cs="Times New Roman"/>
          <w:color w:val="141414"/>
        </w:rPr>
        <w:t xml:space="preserve"> frequently used surfaces</w:t>
      </w:r>
      <w:r w:rsidRPr="00DE4328">
        <w:rPr>
          <w:rFonts w:eastAsia="Times New Roman" w:cs="Times New Roman"/>
          <w:color w:val="141414"/>
        </w:rPr>
        <w:t xml:space="preserve">. The goal of this guidance </w:t>
      </w:r>
      <w:r w:rsidR="007F0BBB" w:rsidRPr="001620AA">
        <w:rPr>
          <w:rFonts w:eastAsia="Times New Roman" w:cs="Times New Roman"/>
          <w:color w:val="141414"/>
        </w:rPr>
        <w:t>is</w:t>
      </w:r>
      <w:r w:rsidRPr="00DE4328">
        <w:rPr>
          <w:rFonts w:eastAsia="Times New Roman" w:cs="Times New Roman"/>
          <w:color w:val="141414"/>
        </w:rPr>
        <w:t xml:space="preserve"> to </w:t>
      </w:r>
      <w:r w:rsidR="007F0BBB" w:rsidRPr="001620AA">
        <w:rPr>
          <w:rFonts w:eastAsia="Times New Roman" w:cs="Times New Roman"/>
          <w:color w:val="141414"/>
        </w:rPr>
        <w:t xml:space="preserve">do our best to </w:t>
      </w:r>
      <w:r w:rsidRPr="00DE4328">
        <w:rPr>
          <w:rFonts w:eastAsia="Times New Roman" w:cs="Times New Roman"/>
          <w:color w:val="141414"/>
        </w:rPr>
        <w:t xml:space="preserve">protect </w:t>
      </w:r>
      <w:r w:rsidR="004455AF" w:rsidRPr="001620AA">
        <w:rPr>
          <w:rFonts w:eastAsia="Times New Roman" w:cs="Times New Roman"/>
          <w:color w:val="141414"/>
        </w:rPr>
        <w:t xml:space="preserve">The Gatherings </w:t>
      </w:r>
      <w:r w:rsidR="001620AA">
        <w:rPr>
          <w:rFonts w:eastAsia="Times New Roman" w:cs="Times New Roman"/>
          <w:color w:val="141414"/>
        </w:rPr>
        <w:t>users</w:t>
      </w:r>
      <w:r w:rsidRPr="00DE4328">
        <w:rPr>
          <w:rFonts w:eastAsia="Times New Roman" w:cs="Times New Roman"/>
          <w:color w:val="141414"/>
        </w:rPr>
        <w:t xml:space="preserve"> from COVID-19 infection.</w:t>
      </w:r>
    </w:p>
    <w:p w14:paraId="4F5DD86B" w14:textId="6B62DACB" w:rsidR="00F53521" w:rsidRPr="00F53521" w:rsidRDefault="00DE4328" w:rsidP="00C45A60">
      <w:pPr>
        <w:spacing w:before="100" w:beforeAutospacing="1" w:after="120"/>
        <w:outlineLvl w:val="2"/>
        <w:rPr>
          <w:rFonts w:eastAsia="Times New Roman" w:cs="Times New Roman"/>
          <w:b/>
          <w:bCs/>
          <w:color w:val="141414"/>
        </w:rPr>
      </w:pPr>
      <w:r w:rsidRPr="00DE4328">
        <w:rPr>
          <w:rFonts w:eastAsia="Times New Roman" w:cs="Times New Roman"/>
          <w:b/>
          <w:bCs/>
          <w:color w:val="141414"/>
        </w:rPr>
        <w:t>General Guidance</w:t>
      </w:r>
      <w:r w:rsidR="004455AF" w:rsidRPr="001620AA">
        <w:rPr>
          <w:rFonts w:eastAsia="Times New Roman" w:cs="Times New Roman"/>
          <w:b/>
          <w:bCs/>
          <w:color w:val="141414"/>
        </w:rPr>
        <w:t xml:space="preserve"> </w:t>
      </w:r>
      <w:r w:rsidR="007F0BBB" w:rsidRPr="001620AA">
        <w:rPr>
          <w:rFonts w:eastAsia="Times New Roman" w:cs="Times New Roman"/>
          <w:b/>
          <w:bCs/>
          <w:color w:val="141414"/>
        </w:rPr>
        <w:t xml:space="preserve">for </w:t>
      </w:r>
      <w:r w:rsidR="004455AF" w:rsidRPr="001620AA">
        <w:rPr>
          <w:rFonts w:eastAsia="Times New Roman" w:cs="Times New Roman"/>
          <w:b/>
          <w:bCs/>
          <w:color w:val="141414"/>
        </w:rPr>
        <w:t>The Gatherings</w:t>
      </w:r>
      <w:r w:rsidR="007F0BBB" w:rsidRPr="001620AA">
        <w:rPr>
          <w:rFonts w:eastAsia="Times New Roman" w:cs="Times New Roman"/>
          <w:b/>
          <w:bCs/>
          <w:color w:val="141414"/>
        </w:rPr>
        <w:t xml:space="preserve"> Community</w:t>
      </w:r>
      <w:r w:rsidR="00C45A60">
        <w:rPr>
          <w:rFonts w:eastAsia="Times New Roman" w:cs="Times New Roman"/>
          <w:b/>
          <w:bCs/>
          <w:color w:val="141414"/>
        </w:rPr>
        <w:t xml:space="preserve"> – </w:t>
      </w:r>
      <w:r w:rsidR="00FF382F">
        <w:rPr>
          <w:rFonts w:eastAsia="Times New Roman" w:cs="Times New Roman"/>
          <w:color w:val="141414"/>
        </w:rPr>
        <w:t xml:space="preserve">Physical distancing requirements have been lifted. All guests (over the age of 12) </w:t>
      </w:r>
      <w:r w:rsidR="00FF382F" w:rsidRPr="00FF382F">
        <w:rPr>
          <w:rFonts w:eastAsia="Times New Roman" w:cs="Times New Roman"/>
          <w:b/>
          <w:bCs/>
          <w:i/>
          <w:iCs/>
          <w:color w:val="141414"/>
        </w:rPr>
        <w:t>who are not vaccinated</w:t>
      </w:r>
      <w:r w:rsidR="00FF382F">
        <w:rPr>
          <w:rFonts w:eastAsia="Times New Roman" w:cs="Times New Roman"/>
          <w:color w:val="141414"/>
        </w:rPr>
        <w:t xml:space="preserve"> are required to wear a face covering while indoors and outdoors. </w:t>
      </w:r>
      <w:r w:rsidR="000B5370" w:rsidRPr="001620AA">
        <w:rPr>
          <w:rFonts w:eastAsia="Times New Roman" w:cs="Times New Roman"/>
          <w:color w:val="141414"/>
        </w:rPr>
        <w:t xml:space="preserve">Indoor occupancy </w:t>
      </w:r>
      <w:r w:rsidR="00A501FB">
        <w:rPr>
          <w:rFonts w:eastAsia="Times New Roman" w:cs="Times New Roman"/>
          <w:color w:val="141414"/>
        </w:rPr>
        <w:t>is</w:t>
      </w:r>
      <w:r w:rsidR="000B5370" w:rsidRPr="001620AA">
        <w:rPr>
          <w:rFonts w:eastAsia="Times New Roman" w:cs="Times New Roman"/>
          <w:color w:val="141414"/>
        </w:rPr>
        <w:t xml:space="preserve"> limited to </w:t>
      </w:r>
      <w:r w:rsidR="009F287F">
        <w:rPr>
          <w:rFonts w:eastAsia="Times New Roman" w:cs="Times New Roman"/>
          <w:color w:val="141414"/>
        </w:rPr>
        <w:t>5</w:t>
      </w:r>
      <w:r w:rsidR="000E015D">
        <w:rPr>
          <w:rFonts w:eastAsia="Times New Roman" w:cs="Times New Roman"/>
          <w:color w:val="141414"/>
        </w:rPr>
        <w:t>0</w:t>
      </w:r>
      <w:r w:rsidR="00FF382F">
        <w:rPr>
          <w:rFonts w:eastAsia="Times New Roman" w:cs="Times New Roman"/>
          <w:color w:val="141414"/>
        </w:rPr>
        <w:t xml:space="preserve"> people. </w:t>
      </w:r>
      <w:r w:rsidR="000B5370" w:rsidRPr="001620AA">
        <w:rPr>
          <w:rFonts w:eastAsia="Times New Roman" w:cs="Times New Roman"/>
          <w:color w:val="141414"/>
        </w:rPr>
        <w:t xml:space="preserve">Outdoor gatherings cannot exceed </w:t>
      </w:r>
      <w:r w:rsidR="009F287F">
        <w:rPr>
          <w:rFonts w:eastAsia="Times New Roman" w:cs="Times New Roman"/>
          <w:color w:val="141414"/>
        </w:rPr>
        <w:t>100</w:t>
      </w:r>
      <w:r w:rsidR="000B5370" w:rsidRPr="001620AA">
        <w:rPr>
          <w:rFonts w:eastAsia="Times New Roman" w:cs="Times New Roman"/>
          <w:color w:val="141414"/>
        </w:rPr>
        <w:t xml:space="preserve">. </w:t>
      </w:r>
    </w:p>
    <w:p w14:paraId="383858E8" w14:textId="2CCD5CAD" w:rsidR="001620AA" w:rsidRPr="00C45A60" w:rsidRDefault="00703A2A" w:rsidP="00C45A60">
      <w:pPr>
        <w:spacing w:before="100" w:beforeAutospacing="1" w:after="120"/>
        <w:outlineLvl w:val="2"/>
        <w:rPr>
          <w:rFonts w:eastAsia="Times New Roman" w:cs="Times New Roman"/>
          <w:b/>
          <w:bCs/>
          <w:color w:val="141414"/>
        </w:rPr>
      </w:pPr>
      <w:r w:rsidRPr="00703A2A">
        <w:rPr>
          <w:rFonts w:eastAsia="Times New Roman" w:cs="Times New Roman"/>
          <w:b/>
          <w:bCs/>
          <w:color w:val="141414"/>
        </w:rPr>
        <w:t>Communicating COVID-19 Policies</w:t>
      </w:r>
      <w:r w:rsidR="000B5370" w:rsidRPr="001620AA">
        <w:rPr>
          <w:rFonts w:eastAsia="Times New Roman" w:cs="Times New Roman"/>
          <w:b/>
          <w:bCs/>
          <w:color w:val="141414"/>
        </w:rPr>
        <w:t xml:space="preserve"> by Gatherings Board and Hosts</w:t>
      </w:r>
      <w:r w:rsidR="00C45A60">
        <w:rPr>
          <w:rFonts w:eastAsia="Times New Roman" w:cs="Times New Roman"/>
          <w:b/>
          <w:bCs/>
          <w:color w:val="141414"/>
        </w:rPr>
        <w:t xml:space="preserve"> – </w:t>
      </w:r>
      <w:r w:rsidRPr="00703A2A">
        <w:rPr>
          <w:rFonts w:eastAsia="Times New Roman" w:cs="Times New Roman"/>
          <w:color w:val="141414"/>
        </w:rPr>
        <w:t>Inform guests of COVID-19 policies and procedures in advance</w:t>
      </w:r>
      <w:r w:rsidR="000E015D">
        <w:rPr>
          <w:rFonts w:eastAsia="Times New Roman" w:cs="Times New Roman"/>
          <w:color w:val="141414"/>
        </w:rPr>
        <w:t xml:space="preserve">. </w:t>
      </w:r>
      <w:r w:rsidR="00DE144A" w:rsidRPr="000E015D">
        <w:rPr>
          <w:rFonts w:eastAsia="Times New Roman" w:cs="Times New Roman"/>
          <w:color w:val="141414"/>
        </w:rPr>
        <w:t xml:space="preserve">Signs are posted </w:t>
      </w:r>
      <w:r w:rsidRPr="00703A2A">
        <w:rPr>
          <w:rFonts w:eastAsia="Times New Roman" w:cs="Times New Roman"/>
          <w:color w:val="141414"/>
        </w:rPr>
        <w:t xml:space="preserve">at entrances and throughout </w:t>
      </w:r>
      <w:r w:rsidR="00DE144A" w:rsidRPr="000E015D">
        <w:rPr>
          <w:rFonts w:eastAsia="Times New Roman" w:cs="Times New Roman"/>
          <w:color w:val="141414"/>
        </w:rPr>
        <w:t>the building</w:t>
      </w:r>
      <w:r w:rsidRPr="00703A2A">
        <w:rPr>
          <w:rFonts w:eastAsia="Times New Roman" w:cs="Times New Roman"/>
          <w:color w:val="141414"/>
        </w:rPr>
        <w:t xml:space="preserve"> (alerting guests to required occupancy limits, physical distancing requirements, face covering policies, and other health and hygiene reminders</w:t>
      </w:r>
      <w:r w:rsidR="00DE144A" w:rsidRPr="000E015D">
        <w:rPr>
          <w:rFonts w:eastAsia="Times New Roman" w:cs="Times New Roman"/>
          <w:color w:val="141414"/>
        </w:rPr>
        <w:t>)</w:t>
      </w:r>
      <w:r w:rsidRPr="00703A2A">
        <w:rPr>
          <w:rFonts w:eastAsia="Times New Roman" w:cs="Times New Roman"/>
          <w:color w:val="141414"/>
        </w:rPr>
        <w:t xml:space="preserve">. </w:t>
      </w:r>
      <w:r w:rsidR="000E015D">
        <w:rPr>
          <w:rFonts w:eastAsia="Times New Roman" w:cs="Times New Roman"/>
          <w:color w:val="141414"/>
        </w:rPr>
        <w:t xml:space="preserve"> </w:t>
      </w:r>
      <w:r w:rsidRPr="00703A2A">
        <w:rPr>
          <w:rFonts w:eastAsia="Times New Roman" w:cs="Times New Roman"/>
          <w:color w:val="141414"/>
        </w:rPr>
        <w:t xml:space="preserve">It is strongly recommended that </w:t>
      </w:r>
      <w:r w:rsidR="001620AA" w:rsidRPr="000E015D">
        <w:rPr>
          <w:rFonts w:eastAsia="Times New Roman" w:cs="Times New Roman"/>
          <w:color w:val="141414"/>
        </w:rPr>
        <w:t>groups</w:t>
      </w:r>
      <w:r w:rsidRPr="00703A2A">
        <w:rPr>
          <w:rFonts w:eastAsia="Times New Roman" w:cs="Times New Roman"/>
          <w:color w:val="141414"/>
        </w:rPr>
        <w:t xml:space="preserve"> remind </w:t>
      </w:r>
      <w:r w:rsidR="001620AA" w:rsidRPr="000E015D">
        <w:rPr>
          <w:rFonts w:eastAsia="Times New Roman" w:cs="Times New Roman"/>
          <w:color w:val="141414"/>
        </w:rPr>
        <w:t>members</w:t>
      </w:r>
      <w:r w:rsidRPr="00703A2A">
        <w:rPr>
          <w:rFonts w:eastAsia="Times New Roman" w:cs="Times New Roman"/>
          <w:color w:val="141414"/>
        </w:rPr>
        <w:t xml:space="preserve"> that if they are ill (e.g. have a fever or cough) they should not visit. </w:t>
      </w:r>
    </w:p>
    <w:p w14:paraId="2E05C042" w14:textId="64B780D7" w:rsidR="00703A2A" w:rsidRPr="00703A2A" w:rsidRDefault="00703A2A" w:rsidP="00C45A60">
      <w:pPr>
        <w:spacing w:before="100" w:beforeAutospacing="1" w:after="120"/>
        <w:outlineLvl w:val="2"/>
        <w:rPr>
          <w:rFonts w:eastAsia="Times New Roman" w:cs="Times New Roman"/>
          <w:b/>
          <w:bCs/>
          <w:color w:val="141414"/>
        </w:rPr>
      </w:pPr>
      <w:r w:rsidRPr="00703A2A">
        <w:rPr>
          <w:rFonts w:eastAsia="Times New Roman" w:cs="Times New Roman"/>
          <w:b/>
          <w:bCs/>
          <w:color w:val="141414"/>
        </w:rPr>
        <w:t>Operational Considerations</w:t>
      </w:r>
    </w:p>
    <w:p w14:paraId="146F2329" w14:textId="7AAA3F71" w:rsidR="00880E28" w:rsidRPr="000E015D" w:rsidRDefault="00703A2A" w:rsidP="00C45A60">
      <w:pPr>
        <w:numPr>
          <w:ilvl w:val="0"/>
          <w:numId w:val="3"/>
        </w:numPr>
        <w:rPr>
          <w:rFonts w:eastAsia="Times New Roman" w:cs="Times New Roman"/>
        </w:rPr>
      </w:pPr>
      <w:r w:rsidRPr="00703A2A">
        <w:rPr>
          <w:rFonts w:eastAsia="Times New Roman" w:cs="Times New Roman"/>
          <w:color w:val="141414"/>
        </w:rPr>
        <w:t xml:space="preserve">Ensure that </w:t>
      </w:r>
      <w:r w:rsidR="00DE144A" w:rsidRPr="000F279E">
        <w:rPr>
          <w:rFonts w:eastAsia="Times New Roman" w:cs="Times New Roman"/>
          <w:color w:val="141414"/>
        </w:rPr>
        <w:t xml:space="preserve">volunteers are committed to accomplish </w:t>
      </w:r>
      <w:r w:rsidRPr="00703A2A">
        <w:rPr>
          <w:rFonts w:eastAsia="Times New Roman" w:cs="Times New Roman"/>
          <w:color w:val="141414"/>
        </w:rPr>
        <w:t>enhanced cleaning and disinfection measure</w:t>
      </w:r>
      <w:r w:rsidR="000E015D">
        <w:rPr>
          <w:rFonts w:eastAsia="Times New Roman" w:cs="Times New Roman"/>
          <w:color w:val="141414"/>
        </w:rPr>
        <w:t xml:space="preserve">s, including </w:t>
      </w:r>
      <w:r w:rsidR="0009080D" w:rsidRPr="000F279E">
        <w:rPr>
          <w:rFonts w:eastAsia="Times New Roman" w:cs="Times New Roman"/>
          <w:color w:val="141414"/>
        </w:rPr>
        <w:t>sanitizing tables</w:t>
      </w:r>
      <w:r w:rsidR="000E015D">
        <w:rPr>
          <w:rFonts w:eastAsia="Times New Roman" w:cs="Times New Roman"/>
          <w:color w:val="141414"/>
        </w:rPr>
        <w:t xml:space="preserve">, counters, and </w:t>
      </w:r>
      <w:r w:rsidR="000F279E" w:rsidRPr="000F279E">
        <w:rPr>
          <w:rFonts w:eastAsia="Times New Roman" w:cs="Times New Roman"/>
          <w:color w:val="141414"/>
        </w:rPr>
        <w:t xml:space="preserve">other high-contact areas </w:t>
      </w:r>
      <w:r w:rsidR="0009080D" w:rsidRPr="000F279E">
        <w:rPr>
          <w:rFonts w:eastAsia="Times New Roman" w:cs="Times New Roman"/>
          <w:color w:val="141414"/>
        </w:rPr>
        <w:t>and surfaces they use</w:t>
      </w:r>
      <w:r w:rsidR="000F279E" w:rsidRPr="000F279E">
        <w:rPr>
          <w:rFonts w:eastAsia="Times New Roman" w:cs="Times New Roman"/>
          <w:color w:val="141414"/>
        </w:rPr>
        <w:t xml:space="preserve"> before departing. </w:t>
      </w:r>
      <w:r w:rsidR="00DE144A" w:rsidRPr="000E015D">
        <w:rPr>
          <w:rFonts w:eastAsia="Times New Roman" w:cs="Times New Roman"/>
          <w:color w:val="141414"/>
        </w:rPr>
        <w:t>Adequate</w:t>
      </w:r>
      <w:r w:rsidRPr="00703A2A">
        <w:rPr>
          <w:rFonts w:eastAsia="Times New Roman" w:cs="Times New Roman"/>
          <w:color w:val="141414"/>
        </w:rPr>
        <w:t xml:space="preserve"> supplies (e.g., soap, paper towels, hand sanitizer, </w:t>
      </w:r>
      <w:r w:rsidR="00DE144A" w:rsidRPr="000E015D">
        <w:rPr>
          <w:rFonts w:eastAsia="Times New Roman" w:cs="Times New Roman"/>
          <w:color w:val="141414"/>
        </w:rPr>
        <w:t>disinfecting spray</w:t>
      </w:r>
      <w:r w:rsidRPr="00703A2A">
        <w:rPr>
          <w:rFonts w:eastAsia="Times New Roman" w:cs="Times New Roman"/>
          <w:color w:val="141414"/>
        </w:rPr>
        <w:t xml:space="preserve">) </w:t>
      </w:r>
      <w:r w:rsidR="00DE144A" w:rsidRPr="000E015D">
        <w:rPr>
          <w:rFonts w:eastAsia="Times New Roman" w:cs="Times New Roman"/>
          <w:color w:val="141414"/>
        </w:rPr>
        <w:t xml:space="preserve">are available </w:t>
      </w:r>
      <w:r w:rsidRPr="00703A2A">
        <w:rPr>
          <w:rFonts w:eastAsia="Times New Roman" w:cs="Times New Roman"/>
          <w:color w:val="141414"/>
        </w:rPr>
        <w:t>to support increased cleaning and disinfectio</w:t>
      </w:r>
      <w:r w:rsidR="0009080D" w:rsidRPr="000E015D">
        <w:rPr>
          <w:rFonts w:eastAsia="Times New Roman" w:cs="Times New Roman"/>
          <w:color w:val="141414"/>
        </w:rPr>
        <w:t>n</w:t>
      </w:r>
      <w:r w:rsidRPr="00703A2A">
        <w:rPr>
          <w:rFonts w:eastAsia="Times New Roman" w:cs="Times New Roman"/>
          <w:color w:val="141414"/>
        </w:rPr>
        <w:t>.</w:t>
      </w:r>
      <w:r w:rsidR="00DE144A" w:rsidRPr="000E015D">
        <w:rPr>
          <w:rFonts w:eastAsia="Times New Roman" w:cs="Times New Roman"/>
          <w:color w:val="141414"/>
        </w:rPr>
        <w:t xml:space="preserve"> </w:t>
      </w:r>
    </w:p>
    <w:p w14:paraId="2D8297AF" w14:textId="160871A4" w:rsidR="00703A2A" w:rsidRPr="000E015D" w:rsidRDefault="00703A2A" w:rsidP="00C45A60">
      <w:pPr>
        <w:numPr>
          <w:ilvl w:val="0"/>
          <w:numId w:val="3"/>
        </w:numPr>
        <w:spacing w:before="100" w:beforeAutospacing="1"/>
        <w:rPr>
          <w:rFonts w:eastAsia="Times New Roman" w:cs="Times New Roman"/>
          <w:color w:val="141414"/>
        </w:rPr>
      </w:pPr>
      <w:r w:rsidRPr="00703A2A">
        <w:rPr>
          <w:rFonts w:eastAsia="Times New Roman" w:cs="Times New Roman"/>
          <w:color w:val="141414"/>
        </w:rPr>
        <w:t>Minimize traffic in stairw</w:t>
      </w:r>
      <w:r w:rsidR="00880E28" w:rsidRPr="000E015D">
        <w:rPr>
          <w:rFonts w:eastAsia="Times New Roman" w:cs="Times New Roman"/>
          <w:color w:val="141414"/>
        </w:rPr>
        <w:t>ays</w:t>
      </w:r>
      <w:r w:rsidR="00202760">
        <w:rPr>
          <w:rFonts w:eastAsia="Times New Roman" w:cs="Times New Roman"/>
          <w:color w:val="141414"/>
        </w:rPr>
        <w:t>, entrances,</w:t>
      </w:r>
      <w:r w:rsidRPr="00703A2A">
        <w:rPr>
          <w:rFonts w:eastAsia="Times New Roman" w:cs="Times New Roman"/>
          <w:color w:val="141414"/>
        </w:rPr>
        <w:t xml:space="preserve"> and other spaces that do not allow for appropriate physical distancing. </w:t>
      </w:r>
    </w:p>
    <w:p w14:paraId="2D9B59D8" w14:textId="1CF39322" w:rsidR="00E45843" w:rsidRDefault="00703A2A" w:rsidP="00A501FB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color w:val="141414"/>
        </w:rPr>
      </w:pPr>
      <w:r w:rsidRPr="00703A2A">
        <w:rPr>
          <w:rFonts w:eastAsia="Times New Roman" w:cs="Times New Roman"/>
          <w:color w:val="141414"/>
        </w:rPr>
        <w:t xml:space="preserve">For contact tracing purposes, </w:t>
      </w:r>
      <w:r w:rsidR="00880E28" w:rsidRPr="001620AA">
        <w:rPr>
          <w:rFonts w:eastAsia="Times New Roman" w:cs="Times New Roman"/>
          <w:color w:val="141414"/>
        </w:rPr>
        <w:t xml:space="preserve">please </w:t>
      </w:r>
      <w:r w:rsidRPr="00703A2A">
        <w:rPr>
          <w:rFonts w:eastAsia="Times New Roman" w:cs="Times New Roman"/>
          <w:color w:val="141414"/>
        </w:rPr>
        <w:t>maintain a record</w:t>
      </w:r>
      <w:r w:rsidR="00224DEE">
        <w:rPr>
          <w:rFonts w:eastAsia="Times New Roman" w:cs="Times New Roman"/>
          <w:color w:val="141414"/>
        </w:rPr>
        <w:t xml:space="preserve"> of attendance at every meeting</w:t>
      </w:r>
      <w:r w:rsidR="00880E28" w:rsidRPr="001620AA">
        <w:rPr>
          <w:rFonts w:eastAsia="Times New Roman" w:cs="Times New Roman"/>
          <w:color w:val="141414"/>
        </w:rPr>
        <w:t xml:space="preserve">, </w:t>
      </w:r>
      <w:r w:rsidRPr="00703A2A">
        <w:rPr>
          <w:rFonts w:eastAsia="Times New Roman" w:cs="Times New Roman"/>
          <w:color w:val="141414"/>
        </w:rPr>
        <w:t>including contact information</w:t>
      </w:r>
      <w:r w:rsidR="00880E28" w:rsidRPr="001620AA">
        <w:rPr>
          <w:rFonts w:eastAsia="Times New Roman" w:cs="Times New Roman"/>
          <w:color w:val="141414"/>
        </w:rPr>
        <w:t xml:space="preserve">, </w:t>
      </w:r>
      <w:r w:rsidR="00224DEE">
        <w:rPr>
          <w:rFonts w:eastAsia="Times New Roman" w:cs="Times New Roman"/>
          <w:color w:val="141414"/>
        </w:rPr>
        <w:t>for each of</w:t>
      </w:r>
      <w:r w:rsidR="00880E28" w:rsidRPr="001620AA">
        <w:rPr>
          <w:rFonts w:eastAsia="Times New Roman" w:cs="Times New Roman"/>
          <w:color w:val="141414"/>
        </w:rPr>
        <w:t xml:space="preserve"> your guest</w:t>
      </w:r>
      <w:r w:rsidR="00224DEE">
        <w:rPr>
          <w:rFonts w:eastAsia="Times New Roman" w:cs="Times New Roman"/>
          <w:color w:val="141414"/>
        </w:rPr>
        <w:t>s</w:t>
      </w:r>
      <w:r w:rsidR="007446BA">
        <w:rPr>
          <w:rFonts w:eastAsia="Times New Roman" w:cs="Times New Roman"/>
          <w:color w:val="141414"/>
        </w:rPr>
        <w:t>.</w:t>
      </w:r>
      <w:r w:rsidR="00880E28" w:rsidRPr="001620AA">
        <w:rPr>
          <w:rFonts w:eastAsia="Times New Roman" w:cs="Times New Roman"/>
          <w:color w:val="141414"/>
        </w:rPr>
        <w:t xml:space="preserve"> </w:t>
      </w:r>
    </w:p>
    <w:p w14:paraId="405EA838" w14:textId="76FB4744" w:rsidR="00C45A60" w:rsidRDefault="00C45A60" w:rsidP="00C45A60">
      <w:pPr>
        <w:spacing w:before="100" w:beforeAutospacing="1" w:after="120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I have read and understand the above CDC Covid-19 guidelines pertaining to use of The Gatherings.</w:t>
      </w:r>
      <w:r w:rsidR="00224DEE">
        <w:rPr>
          <w:rFonts w:eastAsia="Times New Roman" w:cs="Times New Roman"/>
          <w:color w:val="141414"/>
        </w:rPr>
        <w:t xml:space="preserve"> </w:t>
      </w:r>
    </w:p>
    <w:p w14:paraId="4909D5BD" w14:textId="77777777" w:rsidR="0061347B" w:rsidRDefault="0061347B" w:rsidP="00C45A60">
      <w:pPr>
        <w:spacing w:before="100" w:beforeAutospacing="1" w:after="120"/>
        <w:rPr>
          <w:rFonts w:eastAsia="Times New Roman" w:cs="Times New Roman"/>
          <w:color w:val="141414"/>
        </w:rPr>
      </w:pPr>
    </w:p>
    <w:p w14:paraId="19744087" w14:textId="04DE2611" w:rsidR="00C45A60" w:rsidRDefault="00C45A60" w:rsidP="0061347B">
      <w:pPr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__________________________________</w:t>
      </w:r>
      <w:r>
        <w:rPr>
          <w:rFonts w:eastAsia="Times New Roman" w:cs="Times New Roman"/>
          <w:color w:val="141414"/>
        </w:rPr>
        <w:tab/>
        <w:t>________________________________</w:t>
      </w:r>
    </w:p>
    <w:p w14:paraId="5967119F" w14:textId="77D4B8A7" w:rsidR="0061347B" w:rsidRDefault="0061347B" w:rsidP="0061347B">
      <w:pPr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Signature</w:t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  <w:t>Organization</w:t>
      </w:r>
    </w:p>
    <w:p w14:paraId="3ED898D6" w14:textId="77777777" w:rsidR="00C45A60" w:rsidRPr="000E015D" w:rsidRDefault="00C45A60" w:rsidP="00C45A60">
      <w:pPr>
        <w:spacing w:before="100" w:beforeAutospacing="1" w:after="120"/>
        <w:rPr>
          <w:rFonts w:eastAsia="Times New Roman" w:cs="Times New Roman"/>
          <w:color w:val="141414"/>
        </w:rPr>
      </w:pPr>
    </w:p>
    <w:sectPr w:rsidR="00C45A60" w:rsidRPr="000E015D" w:rsidSect="00A501FB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74C9"/>
    <w:multiLevelType w:val="multilevel"/>
    <w:tmpl w:val="083E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E1801"/>
    <w:multiLevelType w:val="multilevel"/>
    <w:tmpl w:val="8A34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54CF1"/>
    <w:multiLevelType w:val="multilevel"/>
    <w:tmpl w:val="038A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05700"/>
    <w:multiLevelType w:val="multilevel"/>
    <w:tmpl w:val="D1E2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02540"/>
    <w:multiLevelType w:val="multilevel"/>
    <w:tmpl w:val="7EF05A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21"/>
    <w:rsid w:val="0004211B"/>
    <w:rsid w:val="0009080D"/>
    <w:rsid w:val="000B5370"/>
    <w:rsid w:val="000E015D"/>
    <w:rsid w:val="000F279E"/>
    <w:rsid w:val="001620AA"/>
    <w:rsid w:val="00202760"/>
    <w:rsid w:val="00224DEE"/>
    <w:rsid w:val="00397283"/>
    <w:rsid w:val="004455AF"/>
    <w:rsid w:val="00550CCF"/>
    <w:rsid w:val="0061347B"/>
    <w:rsid w:val="00703A2A"/>
    <w:rsid w:val="007446BA"/>
    <w:rsid w:val="00785B49"/>
    <w:rsid w:val="007F0BBB"/>
    <w:rsid w:val="00824321"/>
    <w:rsid w:val="00880E28"/>
    <w:rsid w:val="009F287F"/>
    <w:rsid w:val="00A501FB"/>
    <w:rsid w:val="00C45A60"/>
    <w:rsid w:val="00CE1CEE"/>
    <w:rsid w:val="00DB5071"/>
    <w:rsid w:val="00DE144A"/>
    <w:rsid w:val="00DE4328"/>
    <w:rsid w:val="00E45843"/>
    <w:rsid w:val="00E9497E"/>
    <w:rsid w:val="00F53521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0BE59"/>
  <w14:defaultImageDpi w14:val="32767"/>
  <w15:chartTrackingRefBased/>
  <w15:docId w15:val="{867D1F55-896D-554A-AE00-D344B726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3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43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3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43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4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4328"/>
  </w:style>
  <w:style w:type="character" w:styleId="Hyperlink">
    <w:name w:val="Hyperlink"/>
    <w:basedOn w:val="DefaultParagraphFont"/>
    <w:uiPriority w:val="99"/>
    <w:semiHidden/>
    <w:unhideWhenUsed/>
    <w:rsid w:val="00DE43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roberts</dc:creator>
  <cp:keywords/>
  <dc:description/>
  <cp:lastModifiedBy>rita roberts</cp:lastModifiedBy>
  <cp:revision>2</cp:revision>
  <cp:lastPrinted>2020-09-03T15:33:00Z</cp:lastPrinted>
  <dcterms:created xsi:type="dcterms:W3CDTF">2021-07-07T15:09:00Z</dcterms:created>
  <dcterms:modified xsi:type="dcterms:W3CDTF">2021-07-07T15:09:00Z</dcterms:modified>
</cp:coreProperties>
</file>